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900" w:type="dxa"/>
        <w:gridCol w:w="8000" w:type="dxa"/>
      </w:tblGrid>
      <w:tblPr>
        <w:tblStyle w:val="Main Table"/>
      </w:tblPr>
      <w:tr>
        <w:trPr>
          <w:trHeight w:val="300" w:hRule="atLeast"/>
        </w:trPr>
        <w:tc>
          <w:tcPr>
            <w:tcW w:w="3900" w:type="dxa"/>
            <w:vAlign w:val="center"/>
          </w:tcPr>
          <w:p>
            <w:pPr/>
            <w:r>
              <w:pict>
                <v:shape type="#_x0000_t75" style="width:185pt; height:252pt; margin-left:0pt; margin-top:0pt; mso-position-horizontal:left; mso-position-vertical:top; mso-position-horizontal-relative:char;">
                  <w10:wrap type="inline"/>
                  <v:imagedata r:id="rId7" o:title=""/>
                </v:shape>
              </w:pict>
            </w:r>
          </w:p>
          <w:tbl>
            <w:tblGrid>
              <w:gridCol w:w="1300" w:type="dxa"/>
              <w:gridCol w:w="700" w:type="dxa"/>
              <w:gridCol w:w="700" w:type="dxa"/>
            </w:tblGrid>
            <w:tblPr>
              <w:tblStyle w:val="Packing Table"/>
            </w:tblPr>
            <w:tr>
              <w:trPr>
                <w:trHeight w:val="1" w:hRule="atLeast"/>
              </w:trPr>
              <w:tc>
                <w:tcPr>
                  <w:tcW w:w="1300" w:type="dxa"/>
                  <w:vAlign w:val="center"/>
                </w:tcPr>
                <w:p>
                  <w:pPr/>
                  <w:r>
                    <w:rPr>
                      <w:rFonts w:ascii="Arial" w:hAnsi="Arial" w:eastAsia="Arial" w:cs="Arial"/>
                      <w:color w:val="000000"/>
                      <w:sz w:val="18"/>
                      <w:szCs w:val="18"/>
                      <w:caps/>
                    </w:rPr>
                    <w:t xml:space="preserve">ФАСОВКА:</w:t>
                  </w:r>
                </w:p>
              </w:tc>
              <w:tc>
                <w:tcPr>
                  <w:tcW w:w="700" w:type="dxa"/>
                  <w:vAlign w:val="center"/>
                </w:tcPr>
                <w:p>
                  <w:pPr/>
                  <w:r>
                    <w:rPr>
                      <w:rFonts w:ascii="Arial" w:hAnsi="Arial" w:eastAsia="Arial" w:cs="Arial"/>
                      <w:color w:val="000000"/>
                      <w:sz w:val="18"/>
                      <w:szCs w:val="18"/>
                      <w:caps/>
                    </w:rPr>
                    <w:t xml:space="preserve">5 кг</w:t>
                  </w:r>
                </w:p>
              </w:tc>
              <w:tc>
                <w:tcPr>
                  <w:tcW w:w="700" w:type="dxa"/>
                  <w:vAlign w:val="center"/>
                </w:tcPr>
                <w:p>
                  <w:pPr/>
                  <w:r>
                    <w:rPr>
                      <w:rFonts w:ascii="Arial" w:hAnsi="Arial" w:eastAsia="Arial" w:cs="Arial"/>
                      <w:color w:val="000000"/>
                      <w:sz w:val="18"/>
                      <w:szCs w:val="18"/>
                      <w:caps/>
                    </w:rPr>
                    <w:t xml:space="preserve">25 кг</w:t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vAlign w:val="center"/>
                </w:tcPr>
                <w:p>
                  <w:pPr/>
                  <w:r>
                    <w:rPr>
                      <w:rFonts w:ascii="Arial" w:hAnsi="Arial" w:eastAsia="Arial" w:cs="Arial"/>
                      <w:color w:val="000000"/>
                      <w:sz w:val="18"/>
                      <w:szCs w:val="18"/>
                      <w:caps/>
                    </w:rPr>
                    <w:t xml:space="preserve">КОЛ-ВО НА ПОДДОНЕ:</w:t>
                  </w:r>
                </w:p>
              </w:tc>
              <w:tc>
                <w:tcPr>
                  <w:vAlign w:val="center"/>
                </w:tcPr>
                <w:p>
                  <w:pPr/>
                  <w:r>
                    <w:rPr>
                      <w:rFonts w:ascii="Arial" w:hAnsi="Arial" w:eastAsia="Arial" w:cs="Arial"/>
                      <w:color w:val="000000"/>
                      <w:sz w:val="18"/>
                      <w:szCs w:val="18"/>
                      <w:caps/>
                    </w:rPr>
                    <w:t xml:space="preserve">240</w:t>
                  </w:r>
                </w:p>
              </w:tc>
              <w:tc>
                <w:tcPr>
                  <w:vAlign w:val="center"/>
                </w:tcPr>
                <w:p>
                  <w:pPr/>
                  <w:r>
                    <w:rPr>
                      <w:rFonts w:ascii="Arial" w:hAnsi="Arial" w:eastAsia="Arial" w:cs="Arial"/>
                      <w:color w:val="000000"/>
                      <w:sz w:val="18"/>
                      <w:szCs w:val="18"/>
                      <w:caps/>
                    </w:rPr>
                    <w:t xml:space="preserve">45</w:t>
                  </w:r>
                </w:p>
              </w:tc>
            </w:tr>
          </w:tbl>
          <w:p/>
        </w:tc>
        <w:tc>
          <w:tcPr>
            <w:tcW w:w="8000" w:type="dxa"/>
          </w:tcPr>
          <w:p>
            <w:pPr>
              <w:jc w:val="left"/>
            </w:pPr>
            <w:r>
              <w:rPr>
                <w:color w:val="0085d0"/>
                <w:sz w:val="60"/>
                <w:szCs w:val="60"/>
                <w:b/>
                <w:bCs/>
              </w:rPr>
              <w:t xml:space="preserve">ВОЛМА-Гипс медицинский</w:t>
            </w:r>
          </w:p>
          <w:p>
            <w:pPr>
              <w:jc w:val="left"/>
              <w:spacing w:before="200" w:after="300"/>
            </w:pPr>
            <w:r>
              <w:rPr>
                <w:color w:val="212121"/>
                <w:sz w:val="28"/>
                <w:szCs w:val="28"/>
              </w:rPr>
              <w:t xml:space="preserve"> ТУ 5744-013-78667917-13</w:t>
            </w:r>
          </w:p>
          <w:tbl>
            <w:tblGrid>
              <w:gridCol w:w="5300" w:type="dxa"/>
              <w:gridCol w:w="2400" w:type="dxa"/>
            </w:tblGrid>
            <w:tblPr>
              <w:tblStyle w:val="Characteristic Table"/>
            </w:tblPr>
            <w:tr>
              <w:trPr>
                <w:trHeight w:val="1" w:hRule="atLeast"/>
              </w:trPr>
              <w:tc>
                <w:tcPr>
                  <w:tcW w:w="5300" w:type="dxa"/>
                </w:tcPr>
                <w:p>
                  <w:pPr>
                    <w:spacing w:before="150" w:after="60"/>
                  </w:pPr>
                  <w:r>
                    <w:rPr>
                      <w:color w:val="0085d0"/>
                      <w:sz w:val="18"/>
                      <w:szCs w:val="18"/>
                      <w:b/>
                      <w:bCs/>
                      <w:caps/>
                    </w:rPr>
                    <w:t xml:space="preserve">ТЕХНИЧЕСКИЕ ХАРАКТЕРИСТИКИ</w:t>
                  </w:r>
                </w:p>
              </w:tc>
              <w:tc>
                <w:tcPr>
                  <w:tcW w:w="2400" w:type="dxa"/>
                </w:tcPr>
                <w:p/>
              </w:tc>
            </w:tr>
            <w:tr>
              <w:trPr>
                <w:trHeight w:val="1" w:hRule="atLeast"/>
              </w:trPr>
              <w:tc>
                <w:tcPr>
                  <w:tcW w:w="5300" w:type="dxa"/>
                </w:tcPr>
                <w:p>
                  <w:pPr>
                    <w:spacing w:before="255" w:after="105"/>
                  </w:pPr>
                  <w:r>
                    <w:rPr>
                      <w:rFonts w:ascii="Arial" w:hAnsi="Arial" w:eastAsia="Arial" w:cs="Arial"/>
                      <w:color w:val="212121"/>
                      <w:sz w:val="18"/>
                      <w:szCs w:val="18"/>
                      <w:caps/>
                    </w:rPr>
                    <w:t xml:space="preserve">Состав</w:t>
                  </w:r>
                </w:p>
              </w:tc>
              <w:tc>
                <w:tcPr>
                  <w:tcW w:w="2400" w:type="dxa"/>
                </w:tcPr>
                <w:p>
                  <w:pPr>
                    <w:spacing w:before="255" w:after="105"/>
                  </w:pPr>
                  <w:r>
                    <w:rPr>
                      <w:rFonts w:ascii="Arial" w:hAnsi="Arial" w:eastAsia="Arial" w:cs="Arial"/>
                      <w:color w:val="212121"/>
                      <w:sz w:val="18"/>
                      <w:szCs w:val="18"/>
                      <w:caps/>
                    </w:rPr>
                    <w:t xml:space="preserve">-полугидрат сульфата кальция</w:t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5300" w:type="dxa"/>
                </w:tcPr>
                <w:p>
                  <w:pPr>
                    <w:spacing w:before="255" w:after="105"/>
                  </w:pPr>
                  <w:r>
                    <w:rPr>
                      <w:rFonts w:ascii="Arial" w:hAnsi="Arial" w:eastAsia="Arial" w:cs="Arial"/>
                      <w:color w:val="212121"/>
                      <w:sz w:val="18"/>
                      <w:szCs w:val="18"/>
                      <w:caps/>
                    </w:rPr>
                    <w:t xml:space="preserve">Объемный вес</w:t>
                  </w:r>
                </w:p>
              </w:tc>
              <w:tc>
                <w:tcPr>
                  <w:tcW w:w="2400" w:type="dxa"/>
                </w:tcPr>
                <w:p>
                  <w:pPr>
                    <w:spacing w:before="255" w:after="105"/>
                  </w:pPr>
                  <w:r>
                    <w:rPr>
                      <w:rFonts w:ascii="Arial" w:hAnsi="Arial" w:eastAsia="Arial" w:cs="Arial"/>
                      <w:color w:val="212121"/>
                      <w:sz w:val="18"/>
                      <w:szCs w:val="18"/>
                      <w:caps/>
                    </w:rPr>
                    <w:t xml:space="preserve">650 кг/м3</w:t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5300" w:type="dxa"/>
                </w:tcPr>
                <w:p>
                  <w:pPr>
                    <w:spacing w:before="255" w:after="105"/>
                  </w:pPr>
                  <w:r>
                    <w:rPr>
                      <w:rFonts w:ascii="Arial" w:hAnsi="Arial" w:eastAsia="Arial" w:cs="Arial"/>
                      <w:color w:val="212121"/>
                      <w:sz w:val="18"/>
                      <w:szCs w:val="18"/>
                      <w:caps/>
                    </w:rPr>
                    <w:t xml:space="preserve">Остаток на сите 0,2 мм</w:t>
                  </w:r>
                </w:p>
              </w:tc>
              <w:tc>
                <w:tcPr>
                  <w:tcW w:w="2400" w:type="dxa"/>
                </w:tcPr>
                <w:p>
                  <w:pPr>
                    <w:spacing w:before="255" w:after="105"/>
                  </w:pPr>
                  <w:r>
                    <w:rPr>
                      <w:rFonts w:ascii="Arial" w:hAnsi="Arial" w:eastAsia="Arial" w:cs="Arial"/>
                      <w:color w:val="212121"/>
                      <w:sz w:val="18"/>
                      <w:szCs w:val="18"/>
                      <w:caps/>
                    </w:rPr>
                    <w:t xml:space="preserve">1-1,5 %</w:t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5300" w:type="dxa"/>
                </w:tcPr>
                <w:p>
                  <w:pPr>
                    <w:spacing w:before="255" w:after="105"/>
                  </w:pPr>
                  <w:r>
                    <w:rPr>
                      <w:rFonts w:ascii="Arial" w:hAnsi="Arial" w:eastAsia="Arial" w:cs="Arial"/>
                      <w:color w:val="212121"/>
                      <w:sz w:val="18"/>
                      <w:szCs w:val="18"/>
                      <w:caps/>
                    </w:rPr>
                    <w:t xml:space="preserve">Готовая масса</w:t>
                  </w:r>
                </w:p>
              </w:tc>
              <w:tc>
                <w:tcPr>
                  <w:tcW w:w="2400" w:type="dxa"/>
                </w:tcPr>
                <w:p>
                  <w:pPr>
                    <w:spacing w:before="255" w:after="105"/>
                  </w:pPr>
                  <w:r>
                    <w:rPr>
                      <w:rFonts w:ascii="Arial" w:hAnsi="Arial" w:eastAsia="Arial" w:cs="Arial"/>
                      <w:color w:val="212121"/>
                      <w:sz w:val="18"/>
                      <w:szCs w:val="18"/>
                      <w:caps/>
                    </w:rPr>
                    <w:t xml:space="preserve"/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5300" w:type="dxa"/>
                </w:tcPr>
                <w:p>
                  <w:pPr>
                    <w:spacing w:before="255" w:after="105"/>
                  </w:pPr>
                  <w:r>
                    <w:rPr>
                      <w:rFonts w:ascii="Arial" w:hAnsi="Arial" w:eastAsia="Arial" w:cs="Arial"/>
                      <w:color w:val="212121"/>
                      <w:sz w:val="18"/>
                      <w:szCs w:val="18"/>
                      <w:caps/>
                    </w:rPr>
                    <w:t xml:space="preserve">рН</w:t>
                  </w:r>
                </w:p>
              </w:tc>
              <w:tc>
                <w:tcPr>
                  <w:tcW w:w="2400" w:type="dxa"/>
                </w:tcPr>
                <w:p>
                  <w:pPr>
                    <w:spacing w:before="255" w:after="105"/>
                  </w:pPr>
                  <w:r>
                    <w:rPr>
                      <w:rFonts w:ascii="Arial" w:hAnsi="Arial" w:eastAsia="Arial" w:cs="Arial"/>
                      <w:color w:val="212121"/>
                      <w:sz w:val="18"/>
                      <w:szCs w:val="18"/>
                      <w:caps/>
                    </w:rPr>
                    <w:t xml:space="preserve">7</w:t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5300" w:type="dxa"/>
                </w:tcPr>
                <w:p>
                  <w:pPr>
                    <w:spacing w:before="255" w:after="105"/>
                  </w:pPr>
                  <w:r>
                    <w:rPr>
                      <w:rFonts w:ascii="Arial" w:hAnsi="Arial" w:eastAsia="Arial" w:cs="Arial"/>
                      <w:color w:val="212121"/>
                      <w:sz w:val="18"/>
                      <w:szCs w:val="18"/>
                      <w:caps/>
                    </w:rPr>
                    <w:t xml:space="preserve">Расход воды на 1 кг порошка</w:t>
                  </w:r>
                </w:p>
              </w:tc>
              <w:tc>
                <w:tcPr>
                  <w:tcW w:w="2400" w:type="dxa"/>
                </w:tcPr>
                <w:p>
                  <w:pPr>
                    <w:spacing w:before="255" w:after="105"/>
                  </w:pPr>
                  <w:r>
                    <w:rPr>
                      <w:rFonts w:ascii="Arial" w:hAnsi="Arial" w:eastAsia="Arial" w:cs="Arial"/>
                      <w:color w:val="212121"/>
                      <w:sz w:val="18"/>
                      <w:szCs w:val="18"/>
                      <w:caps/>
                    </w:rPr>
                    <w:t xml:space="preserve">0,6-0,65 л</w:t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5300" w:type="dxa"/>
                </w:tcPr>
                <w:p>
                  <w:pPr>
                    <w:spacing w:before="255" w:after="105"/>
                  </w:pPr>
                  <w:r>
                    <w:rPr>
                      <w:rFonts w:ascii="Arial" w:hAnsi="Arial" w:eastAsia="Arial" w:cs="Arial"/>
                      <w:color w:val="212121"/>
                      <w:sz w:val="18"/>
                      <w:szCs w:val="18"/>
                      <w:caps/>
                    </w:rPr>
                    <w:t xml:space="preserve">Начало схватывания</w:t>
                  </w:r>
                </w:p>
              </w:tc>
              <w:tc>
                <w:tcPr>
                  <w:tcW w:w="2400" w:type="dxa"/>
                </w:tcPr>
                <w:p>
                  <w:pPr>
                    <w:spacing w:before="255" w:after="105"/>
                  </w:pPr>
                  <w:r>
                    <w:rPr>
                      <w:rFonts w:ascii="Arial" w:hAnsi="Arial" w:eastAsia="Arial" w:cs="Arial"/>
                      <w:color w:val="212121"/>
                      <w:sz w:val="18"/>
                      <w:szCs w:val="18"/>
                      <w:caps/>
                    </w:rPr>
                    <w:t xml:space="preserve">не ранее 2,5 минут</w:t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5300" w:type="dxa"/>
                </w:tcPr>
                <w:p>
                  <w:pPr>
                    <w:spacing w:before="255" w:after="105"/>
                  </w:pPr>
                  <w:r>
                    <w:rPr>
                      <w:rFonts w:ascii="Arial" w:hAnsi="Arial" w:eastAsia="Arial" w:cs="Arial"/>
                      <w:color w:val="212121"/>
                      <w:sz w:val="18"/>
                      <w:szCs w:val="18"/>
                      <w:caps/>
                    </w:rPr>
                    <w:t xml:space="preserve">Конец схватывания</w:t>
                  </w:r>
                </w:p>
              </w:tc>
              <w:tc>
                <w:tcPr>
                  <w:tcW w:w="2400" w:type="dxa"/>
                </w:tcPr>
                <w:p>
                  <w:pPr>
                    <w:spacing w:before="255" w:after="105"/>
                  </w:pPr>
                  <w:r>
                    <w:rPr>
                      <w:rFonts w:ascii="Arial" w:hAnsi="Arial" w:eastAsia="Arial" w:cs="Arial"/>
                      <w:color w:val="212121"/>
                      <w:sz w:val="18"/>
                      <w:szCs w:val="18"/>
                      <w:caps/>
                    </w:rPr>
                    <w:t xml:space="preserve">не позднее 12 минут</w:t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5300" w:type="dxa"/>
                </w:tcPr>
                <w:p>
                  <w:pPr>
                    <w:spacing w:before="255" w:after="105"/>
                  </w:pPr>
                  <w:r>
                    <w:rPr>
                      <w:rFonts w:ascii="Arial" w:hAnsi="Arial" w:eastAsia="Arial" w:cs="Arial"/>
                      <w:color w:val="212121"/>
                      <w:sz w:val="18"/>
                      <w:szCs w:val="18"/>
                      <w:caps/>
                    </w:rPr>
                    <w:t xml:space="preserve">Прочность на сжатие через 2 ч</w:t>
                  </w:r>
                </w:p>
              </w:tc>
              <w:tc>
                <w:tcPr>
                  <w:tcW w:w="2400" w:type="dxa"/>
                </w:tcPr>
                <w:p>
                  <w:pPr>
                    <w:spacing w:before="255" w:after="105"/>
                  </w:pPr>
                  <w:r>
                    <w:rPr>
                      <w:rFonts w:ascii="Arial" w:hAnsi="Arial" w:eastAsia="Arial" w:cs="Arial"/>
                      <w:color w:val="212121"/>
                      <w:sz w:val="18"/>
                      <w:szCs w:val="18"/>
                      <w:caps/>
                    </w:rPr>
                    <w:t xml:space="preserve">не менее 5 МПа</w:t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5300" w:type="dxa"/>
                </w:tcPr>
                <w:p>
                  <w:pPr>
                    <w:spacing w:before="255" w:after="105"/>
                  </w:pPr>
                  <w:r>
                    <w:rPr>
                      <w:rFonts w:ascii="Arial" w:hAnsi="Arial" w:eastAsia="Arial" w:cs="Arial"/>
                      <w:color w:val="212121"/>
                      <w:sz w:val="18"/>
                      <w:szCs w:val="18"/>
                      <w:caps/>
                    </w:rPr>
                    <w:t xml:space="preserve">Прочность на изгиб через 2 ч</w:t>
                  </w:r>
                </w:p>
              </w:tc>
              <w:tc>
                <w:tcPr>
                  <w:tcW w:w="2400" w:type="dxa"/>
                </w:tcPr>
                <w:p>
                  <w:pPr>
                    <w:spacing w:before="255" w:after="105"/>
                  </w:pPr>
                  <w:r>
                    <w:rPr>
                      <w:rFonts w:ascii="Arial" w:hAnsi="Arial" w:eastAsia="Arial" w:cs="Arial"/>
                      <w:color w:val="212121"/>
                      <w:sz w:val="18"/>
                      <w:szCs w:val="18"/>
                      <w:caps/>
                    </w:rPr>
                    <w:t xml:space="preserve">не менее 2,5 МПа</w:t>
                  </w:r>
                </w:p>
              </w:tc>
            </w:tr>
          </w:tbl>
          <w:p/>
        </w:tc>
      </w:tr>
    </w:tbl>
    <w:tbl>
      <w:tblGrid>
        <w:gridCol w:w="11500" w:type="dxa"/>
      </w:tblGrid>
      <w:tblPr>
        <w:tblStyle w:val="BlueLine Table"/>
      </w:tblPr>
      <w:tr>
        <w:trPr/>
        <w:tc>
          <w:tcPr>
            <w:tcW w:w="11500" w:type="dxa"/>
          </w:tcPr>
          <w:p/>
        </w:tc>
      </w:tr>
    </w:tbl>
    <w:p>
      <w:pPr/>
      <w:r>
        <w:rPr>
          <w:color w:val="0085d0"/>
          <w:sz w:val="18"/>
          <w:szCs w:val="18"/>
          <w:b/>
          <w:bCs/>
          <w:caps/>
        </w:rPr>
        <w:t xml:space="preserve">Назначение:</w:t>
      </w:r>
    </w:p>
    <w:p>
      <w:pPr>
        <w:spacing w:before="100" w:after="300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Материал для изготовления временных протезов, муляжных слепков и иммобилизующих повязок.</w:t>
      </w:r>
    </w:p>
    <w:p>
      <w:pPr/>
      <w:r>
        <w:rPr>
          <w:color w:val="0085d0"/>
          <w:sz w:val="18"/>
          <w:szCs w:val="18"/>
          <w:b/>
          <w:bCs/>
          <w:caps/>
        </w:rPr>
        <w:t xml:space="preserve">Способ применения:</w:t>
      </w:r>
    </w:p>
    <w:p>
      <w:pPr>
        <w:spacing w:before="100" w:after="300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Гипс постепенно засыпают в воду, исходя из пропорции 0,6-0,65 л на 1 кг, одновременно перемешивая для получения массы сметанообразной консистенции. Через 1-1,5 минуты масса готова для работ. Готовую массу использовать в течение 5 минут после приготовления.
Приготовленный раствор не имеет запаха. Реакция раствора нейтральная. При изготовлении гипсовых повязок по истечении 24 часов повязка не имеет признаков размягчения (отпотевания) и вмятин при нажиме пальцами.
Гарантийный срок хранения в неповрежденной фирменной упаковке 12 месяцев.</w:t>
      </w:r>
    </w:p>
    <w:p>
      <w:r>
        <w:br w:type="page"/>
      </w:r>
    </w:p>
    <w:sectPr>
      <w:pgSz w:orient="portrait" w:w="11905.511811023622" w:h="16837.79527559055"/>
      <w:pgMar w:top="300" w:right="300" w:bottom="100" w:left="2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Roboto" w:hAnsi="Roboto" w:eastAsia="Roboto" w:cs="Roboto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ain Table">
    <w:name w:val="Main Table"/>
    <w:uiPriority w:val="99"/>
    <w:tblPr>
      <w:tblW w:w="0" w:type="auto"/>
      <w:tblLayout w:type="autofit"/>
      <w:tblBorders>
        <w:top w:val="single" w:sz="15" w:color="ffffff"/>
        <w:left w:val="single" w:sz="15" w:color="ffffff"/>
        <w:right w:val="single" w:sz="15" w:color="ffffff"/>
        <w:bottom w:val="single" w:sz="15" w:color="ffffff"/>
        <w:insideH w:val="single" w:sz="15" w:color="ffffff"/>
        <w:insideV w:val="single" w:sz="15" w:color="ffffff"/>
      </w:tblBorders>
    </w:tblPr>
  </w:style>
  <w:style w:type="table" w:customStyle="1" w:styleId="Characteristic Table">
    <w:name w:val="Characteristic Table"/>
    <w:uiPriority w:val="99"/>
    <w:tblPr>
      <w:tblW w:w="0" w:type="auto"/>
      <w:tblLayout w:type="autofit"/>
      <w:tblBorders>
        <w:top w:val="single" w:sz="1" w:color="ffffff"/>
        <w:left w:val="single" w:sz="1" w:color="0085d0"/>
        <w:right w:val="single" w:sz="1" w:color="ffffff"/>
        <w:bottom w:val="single" w:sz="1" w:color="ffffff"/>
        <w:insideH w:val="single" w:sz="1" w:color="ffffff"/>
        <w:insideV w:val="single" w:sz="1" w:color="ffffff"/>
      </w:tblBorders>
    </w:tblPr>
  </w:style>
  <w:style w:type="table" w:customStyle="1" w:styleId="Packing Table">
    <w:name w:val="Packing Table"/>
    <w:uiPriority w:val="99"/>
    <w:tblPr>
      <w:tblW w:w="0" w:type="auto"/>
      <w:tblLayout w:type="autofit"/>
      <w:tblCellMar>
        <w:top w:w="30" w:type="dxa"/>
        <w:left w:w="30" w:type="dxa"/>
        <w:right w:w="30" w:type="dxa"/>
        <w:bottom w:w="30" w:type="dxa"/>
      </w:tblCellMar>
      <w:tblBorders>
        <w:top w:val="single" w:sz="0"/>
        <w:left w:val="single" w:sz="0"/>
        <w:right w:val="single" w:sz="0"/>
        <w:bottom w:val="single" w:sz="0"/>
        <w:insideH w:val="single" w:sz="0"/>
        <w:insideV w:val="single" w:sz="0"/>
      </w:tblBorders>
    </w:tblPr>
  </w:style>
  <w:style w:type="table" w:customStyle="1" w:styleId="BlueLine Table">
    <w:name w:val="BlueLine Table"/>
    <w:uiPriority w:val="99"/>
    <w:tblPr>
      <w:tblW w:w="0" w:type="auto"/>
      <w:tblLayout w:type="autofit"/>
      <w:tblCellMar>
        <w:top w:w="0" w:type="dxa"/>
        <w:left w:w="0" w:type="dxa"/>
        <w:right w:w="0" w:type="dxa"/>
        <w:bottom w:w="0" w:type="dxa"/>
      </w:tblCellMar>
      <w:tblBorders>
        <w:top w:val="single" w:sz="1" w:color="0085d0"/>
        <w:left w:val="single" w:sz="1" w:color="ffffff"/>
        <w:right w:val="single" w:sz="1" w:color="ffffff"/>
        <w:bottom w:val="single" w:sz="1" w:color="ffffff"/>
        <w:insideH w:val="single" w:sz="1" w:color="ffffff"/>
        <w:insideV w:val="single" w:sz="1" w:color="ffffff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Волма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Волма</dc:creator>
  <dc:title>ВОЛМА-Гипс медицинский</dc:title>
  <dc:description>Документция ВОЛМА-Гипс медицинский</dc:description>
  <dc:subject>Документция</dc:subject>
  <cp:keywords>документация</cp:keywords>
  <cp:category>Документация</cp:category>
  <cp:lastModifiedBy>Волма</cp:lastModifiedBy>
  <dcterms:created xsi:type="dcterms:W3CDTF">2020-12-24T00:00:00+03:00</dcterms:created>
  <dcterms:modified xsi:type="dcterms:W3CDTF">2020-12-24T00:00:00+03:00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